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333333"/>
          <w:sz w:val="45"/>
          <w:szCs w:val="45"/>
        </w:rPr>
      </w:pPr>
      <w:r>
        <w:rPr>
          <w:rFonts w:hint="eastAsia" w:ascii="微软雅黑" w:hAnsi="微软雅黑" w:eastAsia="微软雅黑" w:cs="微软雅黑"/>
          <w:color w:val="333333"/>
          <w:kern w:val="0"/>
          <w:sz w:val="45"/>
          <w:szCs w:val="45"/>
          <w:bdr w:val="none" w:color="auto" w:sz="0" w:space="0"/>
          <w:lang w:val="en-US" w:eastAsia="zh-CN" w:bidi="ar"/>
        </w:rPr>
        <w:t>中华人民共和国反不正当竞争法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（1993年9月2日第八届全国人民代表大会常务委员会第三次会议通过　1993年9月2日中华人民共和国主席令第十号公布　自1993年12月1日起施行）</w:t>
      </w:r>
    </w:p>
    <w:p>
      <w:pPr>
        <w:pStyle w:val="2"/>
        <w:keepNext w:val="0"/>
        <w:keepLines w:val="0"/>
        <w:widowControl/>
        <w:suppressLineNumbers w:val="0"/>
        <w:spacing w:before="0" w:beforeAutospacing="0" w:after="0" w:afterAutospacing="0" w:line="450" w:lineRule="atLeast"/>
        <w:ind w:left="0" w:right="0"/>
        <w:jc w:val="center"/>
      </w:pPr>
      <w:bookmarkStart w:id="0" w:name="_GoBack"/>
      <w:r>
        <w:rPr>
          <w:color w:val="000000"/>
          <w:sz w:val="18"/>
          <w:szCs w:val="18"/>
        </w:rPr>
        <w:t>中华人民共和国反不正当竞争法</w:t>
      </w:r>
    </w:p>
    <w:bookmarkEnd w:id="0"/>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第一章　总　则</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第一条　为保障社会主义市场经济健康发展，鼓励和保护公平竞争，制止不正当竞争行为，保护经营者和消费者的合法权益，制定本法。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第二条　经营者在市场交易中，应当遵循自愿、平等、公平、诚实信用的原则，遵守公认的商业道德。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本法所称的不正当竞争，是指经营者违反本法规定，损害其他经营者的合法权益，扰乱社会经济秩序的行为。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本法所称的经营者，是指从事商品经营或者营利性服务（以下所称商品包括服务）的法人、其他经济组织和个人。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第三条　各级人民政府应当采取措施，制止不正当竞争行为，为公平竞争创造良好的环境和条件。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县级以上人民政府工商行政管理部门对不正当竞争行为进行监督检查；法律、行政法规规定由其他部门监督检查的，依照其规定。</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第四条　国家鼓励、支持和保护一切组织和个人对不正当竞争行为进行社会监督。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国家机关工作人员不得支持、包庇不正当竞争行为。</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第二章　不正当竞争行为</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第五条　经营者不得采用下列不正当手段从事市场交易，损害竞争对手：</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（一）假冒他人的注册商标；</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（二）擅自使用知名商品特有的名称、包装、装潢，或者使用与知名商品近似的名称、包装、装潢，造成和他人的知名商品相混淆，使购买者误认为是该知名商品；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（三）擅自使用他人的企业名称或者姓名，引人误认为是他人的商品；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（四）在商品上伪造或者冒用认证标志、名优标志等质量标志，伪造产地，对商品质量作引人误解的虚假表示。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第六条　公用企业或者其他依法具有独占地位的经营者，不得限定他人购买其指定的经营者的商品，以排挤其他经营者的公平竞争。</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第七条　政府及其所属部门不得滥用行政权力，限定他人购买其指定的经营者的商品，限制其他经营者正当的经营活动。</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政府及其所属部门不得滥用行政权力，限制外地商品进入本地市场，或者本地商品流向外地市场。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第八条　经营者不得采用财物或者其他手段进行贿赂以销售或者购买商品。在帐外暗中给予对方单位或者个人回扣的，以行贿论处；对方单位或者个人在帐外暗中收受回扣的，以受贿论处。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经营者销售或者购买商品，可以以明示方式给对方折扣，可以给中间人佣金。经营者给对方折扣、给中间人佣金的，必须如实入帐。接受折扣、佣金的经营者必须如实入帐。</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第九条　经营者不得利用广告或者其他方法，对商品的质量、制作成分、性能、用途、生产者、有效期限、产地等作引人误解的虚假宣传。</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广告的经营者不得在明知或者应知的情况下，代理、设计、制作、发布虚假广告。</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第十条　经营者不得采用下列手段侵犯商业秘密：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（一）以盗窃、利诱、胁迫或者其他不正当手段获取权利人的商业秘密；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（二）披露、使用或者允许他人使用以前项手段获取的权利人的商业秘密；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（三）违反约定或者违反权利人有关保守商业秘密的要求，披露、使用或者允许他人使用其所掌握的商业秘密。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第三人明知或者应知前款所列违法行为，获取、使用或者披露他人的商业秘密，视为侵犯商业秘密。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本条所称的商业秘密，是指不为公众所知悉、能为权利人带来经济利益、具有实用性并经权利人采取保密措施的技术信息和经营信息。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第十一条　经营者不得以排挤竞争对手为目的，以低于成本的价格销售商品。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有下列情形之一的，不属于不正当竞争行为：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（一）销售鲜活商品；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（二）处理有效期限即将到期的商品或者其他积压的商品；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（三）季节性降价；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（四）因清偿债务、转产、歇业降价销售商品。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第十二条　经营者销售商品，不得违背购买者的意愿搭售商品或者附加其他不合理的条件。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第十三条　经营者不得从事下列有奖销售：</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（一）采用谎称有奖或者故意让内定人员中奖的欺骗方式进行有奖销售；</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（二）利用有奖销售的手段推销质次价高的商品；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（三）抽奖式的有奖销售，最高奖的金额超过五千元。</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第十四条　经营者不得捏造、散布虚伪事实，损害竞争对手的商业信誉、商品声誉。</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第十五条　投标者不得串通投标，抬高标价或者压低标价。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投标者和招标者不得相互勾结，以排挤竞争对手的公平竞争。</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第三章　监督检查</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第十六条　县级以上监督检查部门对不正当竞争行为，可以进行监督检查。</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第十七条　监督检查部门在监督检查不正当竞争行为时，有权行使下列职权：</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（一）按照规定程序询问被检查的经营者、利害关系人、证明人，并要求提供证明材料或者与不正当竞争行为有关的其他资料；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（二）查询、复制与不正当竞争行为有关的协议、帐册、单据、文件、记录、业务函电和其他资料；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（三）检查与本法第五条规定的不正当竞争行为有关的财物，必要时可以责令被检查的经营者说明该商品的来源和数量，暂停销售，听候检查，不得转移、隐匿、销毁该财物。</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第十八条　监督检查部门工作人员监督检查不正当竞争行为时，应当出示检查证件。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第十九条　监督检查部门在监督检查不正当竞争行为时，被检查的经营者、利害关系人和证明人应当如实提供有关资料或者情况。</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第四章　法律责任</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第二十条　经营者违反本法规定，给被侵害的经营者造成损害的，应当承担损害赔偿责任，被侵害的经营者的损失难以计算的，赔偿额为侵权人在侵权期间因侵权所获得的利润；并应当承担被侵害的经营者因调查该经营者侵害其合法权益的不正当竞争行为所支付的合理费用。</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被侵害的经营者的合法权益受到不正当竞争行为损害的，可以向人民法院提起诉讼。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第二十一条　经营者假冒他人的注册商标，擅自使用他人的企业名称或者姓名，伪造或者冒用认证标志、名优标志等质量标志，伪造产地，对商品质量作引人误解的虚假表示的，依照《中华人民共和国商标法》、《中华人民共和国产品质量法》的规定处罚。</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第二十二条　经营者采用财物或者其他手段进行贿赂以销售或者购买商品，构成犯罪的，依法追究刑事责任；不构成犯罪的，监督检查部门可以根据情节处以一万元以上二十万元以下的罚款，有违法所得的，予以没收。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第二十三条　公用企业或者其他依法具有独占地位的经营者，限定他人购买其指定的经营者的商品，以排挤其他经营者的公平竞争的，省级或者设区的市的监督检查部门应当责令停止违法行为，可以根据情节处以五万元以上二十万元以下的罚款。被指定的经营者借此销售质次价高商品或者滥收费用的，监督检查部门应当没收违法所得，可以根据情节处以违法所得一倍以上三倍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第二十四条　经营者利用广告或者其他方法，对商品作引人误解的虚假宣传的，监督检查部门应当责令停止违法行为，消除影响，可以根据情节处以一万元以上二十万元以下的罚款。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广告的经营者，在明知或者应知的情况下，代理、设计、制作、发布虚假广告的，监督检查部门应当责令停止违法行为，没收违法所得，并依法处以罚款。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第二十五条　违反本法第十条规定侵犯商业秘密的，监督检查部门应当责令停止违法行为，可以根据情节处以一万元以上二十万元以下的罚款。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第二十六条　经营者违反本法第十三条规定进行有奖销售的，监督检查部门应当责令停止违法行为，可以根据情节处以一万元以上十万元以下的罚款。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第二十七条　投标者串通投标，抬高标价或者压低标价；投标者和招标者相互勾结，以排挤竞争对手的公平竞争的，其中标无效。监督检查部门可以根据情节处以一万元以上二十万元以下的罚款。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第二十八条　经营者有违反被责令暂停销售，不得转移、隐匿、销毁与不正当竞争行为有关的财物的行为的，监督检查部门可以根据情节处以被销售、转移、隐匿、销毁财物的价款的一倍以上三倍以下的罚款。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第二十九条　当事人对监督检查部门作出的处罚决定不服的，可以自收到处罚决定之日起十五日内向上一级主管机关申请复议；对复议决定不服的，可以自收到复议决定书之日起十五日内向人民法院提起诉讼；也可以直接向人民法院提起诉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第三十条　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第三十一条　监督检查不正当竞争行为的国家机关工作人员滥用职权、玩忽职守，构成犯罪的，依法追究刑事责任；不构成犯罪的，给予行政处分。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第三十二条　监督检查不正当竞争行为的国家机关工作人员徇私舞弊，对明知有违反本法规定构成犯罪的经营者故意包庇不使他受追诉的，依法追究刑事责任。</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第五章　附　则</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第三十三条　本法自1993年12月1日起施行。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C50CB"/>
    <w:rsid w:val="338C50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5FA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2017-02-21T07:29:00Z</dcterms:created>
  <dc:creator>Administrator</dc:creator>
  <cp:lastModifiedBy>Administrator</cp:lastModifiedBy>
  <dcterms:modified xsi:type="dcterms:W3CDTF">2017-02-21T07:30:48Z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